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8BF" w:rsidRPr="00C43475" w:rsidRDefault="000078BF" w:rsidP="00C43475">
      <w:pPr>
        <w:pStyle w:val="Heading1"/>
        <w:jc w:val="right"/>
        <w:rPr>
          <w:rFonts w:ascii="Arial" w:hAnsi="Arial" w:cs="Arial"/>
          <w:b w:val="0"/>
          <w:color w:val="002060"/>
          <w:sz w:val="20"/>
          <w:szCs w:val="20"/>
        </w:rPr>
      </w:pPr>
      <w:r>
        <w:rPr>
          <w:rFonts w:ascii="Arial" w:hAnsi="Arial" w:cs="Arial"/>
          <w:sz w:val="24"/>
        </w:rPr>
        <w:tab/>
      </w:r>
      <w:r w:rsidR="00C43475" w:rsidRPr="00C43475">
        <w:rPr>
          <w:rFonts w:ascii="Arial" w:hAnsi="Arial" w:cs="Arial"/>
          <w:b w:val="0"/>
          <w:color w:val="002060"/>
          <w:sz w:val="20"/>
          <w:szCs w:val="20"/>
        </w:rPr>
        <w:t>Ref: GJF/2018/06/15</w:t>
      </w:r>
    </w:p>
    <w:p w:rsidR="00C43475" w:rsidRPr="00C43475" w:rsidRDefault="00C43475" w:rsidP="00C43475"/>
    <w:p w:rsidR="000078BF" w:rsidRPr="00F006B5" w:rsidRDefault="00C43475" w:rsidP="00C43475">
      <w:pPr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lang w:eastAsia="en-GB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4469130</wp:posOffset>
            </wp:positionH>
            <wp:positionV relativeFrom="paragraph">
              <wp:posOffset>148590</wp:posOffset>
            </wp:positionV>
            <wp:extent cx="1135380" cy="1104900"/>
            <wp:effectExtent l="19050" t="0" r="7620" b="0"/>
            <wp:wrapTight wrapText="bothSides">
              <wp:wrapPolygon edited="0">
                <wp:start x="-362" y="0"/>
                <wp:lineTo x="-362" y="21228"/>
                <wp:lineTo x="21745" y="21228"/>
                <wp:lineTo x="21745" y="0"/>
                <wp:lineTo x="-362" y="0"/>
              </wp:wrapPolygon>
            </wp:wrapTight>
            <wp:docPr id="2" name="Picture 2" descr="Golden Jubilee Fou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lden Jubilee Foundatio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553E9">
        <w:rPr>
          <w:rFonts w:ascii="Arial" w:hAnsi="Arial" w:cs="Arial"/>
          <w:b/>
          <w:bCs/>
        </w:rPr>
        <w:t>Board Meeting</w:t>
      </w:r>
      <w:r w:rsidR="000078BF" w:rsidRPr="00F006B5">
        <w:rPr>
          <w:rFonts w:ascii="Arial" w:hAnsi="Arial" w:cs="Arial"/>
          <w:b/>
          <w:bCs/>
        </w:rPr>
        <w:t xml:space="preserve">:  </w:t>
      </w:r>
      <w:r w:rsidR="000078BF" w:rsidRPr="00F006B5">
        <w:rPr>
          <w:rFonts w:ascii="Arial" w:hAnsi="Arial" w:cs="Arial"/>
          <w:b/>
          <w:bCs/>
        </w:rPr>
        <w:tab/>
      </w:r>
      <w:r w:rsidR="001553E9">
        <w:rPr>
          <w:rFonts w:ascii="Arial" w:hAnsi="Arial" w:cs="Arial"/>
          <w:b/>
          <w:bCs/>
        </w:rPr>
        <w:tab/>
      </w:r>
      <w:r w:rsidR="001553E9">
        <w:rPr>
          <w:rFonts w:ascii="Arial" w:hAnsi="Arial" w:cs="Arial"/>
          <w:b/>
          <w:bCs/>
        </w:rPr>
        <w:tab/>
      </w:r>
      <w:r w:rsidR="001553E9" w:rsidRPr="001553E9">
        <w:rPr>
          <w:rFonts w:ascii="Arial" w:hAnsi="Arial" w:cs="Arial"/>
          <w:bCs/>
        </w:rPr>
        <w:t>21</w:t>
      </w:r>
      <w:r w:rsidR="000078BF" w:rsidRPr="001553E9">
        <w:rPr>
          <w:rFonts w:ascii="Arial" w:hAnsi="Arial" w:cs="Arial"/>
          <w:bCs/>
        </w:rPr>
        <w:t xml:space="preserve"> June</w:t>
      </w:r>
      <w:r w:rsidR="000078BF">
        <w:rPr>
          <w:rFonts w:ascii="Arial" w:hAnsi="Arial" w:cs="Arial"/>
          <w:bCs/>
        </w:rPr>
        <w:t xml:space="preserve"> 2018 </w:t>
      </w:r>
    </w:p>
    <w:p w:rsidR="000078BF" w:rsidRPr="00F006B5" w:rsidRDefault="000078BF" w:rsidP="00C43475">
      <w:pPr>
        <w:rPr>
          <w:rFonts w:ascii="Arial" w:hAnsi="Arial" w:cs="Arial"/>
          <w:i/>
          <w:iCs/>
        </w:rPr>
      </w:pPr>
    </w:p>
    <w:p w:rsidR="000078BF" w:rsidRPr="00F006B5" w:rsidRDefault="000078BF" w:rsidP="00C43475">
      <w:pPr>
        <w:rPr>
          <w:rFonts w:ascii="Arial" w:hAnsi="Arial" w:cs="Arial"/>
        </w:rPr>
      </w:pPr>
      <w:r w:rsidRPr="00F006B5">
        <w:rPr>
          <w:rFonts w:ascii="Arial" w:hAnsi="Arial" w:cs="Arial"/>
          <w:b/>
          <w:bCs/>
        </w:rPr>
        <w:t>Subject:</w:t>
      </w:r>
      <w:r w:rsidRPr="00F006B5">
        <w:rPr>
          <w:rFonts w:ascii="Arial" w:hAnsi="Arial" w:cs="Arial"/>
        </w:rPr>
        <w:tab/>
      </w:r>
      <w:r w:rsidRPr="00F006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006B5">
        <w:rPr>
          <w:rFonts w:ascii="Arial" w:hAnsi="Arial" w:cs="Arial"/>
        </w:rPr>
        <w:t xml:space="preserve">Internal </w:t>
      </w:r>
      <w:r w:rsidR="00C873D4">
        <w:rPr>
          <w:rFonts w:ascii="Arial" w:hAnsi="Arial" w:cs="Arial"/>
        </w:rPr>
        <w:t>A</w:t>
      </w:r>
      <w:r w:rsidRPr="00F006B5">
        <w:rPr>
          <w:rFonts w:ascii="Arial" w:hAnsi="Arial" w:cs="Arial"/>
        </w:rPr>
        <w:t xml:space="preserve">udit </w:t>
      </w:r>
      <w:r w:rsidR="00C873D4">
        <w:rPr>
          <w:rFonts w:ascii="Arial" w:hAnsi="Arial" w:cs="Arial"/>
        </w:rPr>
        <w:t>C</w:t>
      </w:r>
      <w:r w:rsidRPr="00F006B5">
        <w:rPr>
          <w:rFonts w:ascii="Arial" w:hAnsi="Arial" w:cs="Arial"/>
        </w:rPr>
        <w:t>ontract</w:t>
      </w:r>
    </w:p>
    <w:p w:rsidR="000078BF" w:rsidRPr="00F006B5" w:rsidRDefault="000078BF" w:rsidP="00C43475">
      <w:pPr>
        <w:rPr>
          <w:rFonts w:ascii="Arial" w:hAnsi="Arial" w:cs="Arial"/>
        </w:rPr>
      </w:pPr>
      <w:r w:rsidRPr="00F006B5">
        <w:rPr>
          <w:rFonts w:ascii="Arial" w:hAnsi="Arial" w:cs="Arial"/>
        </w:rPr>
        <w:tab/>
      </w:r>
      <w:r w:rsidRPr="00F006B5">
        <w:rPr>
          <w:rFonts w:ascii="Arial" w:hAnsi="Arial" w:cs="Arial"/>
        </w:rPr>
        <w:tab/>
      </w:r>
      <w:r w:rsidRPr="00F006B5">
        <w:rPr>
          <w:rFonts w:ascii="Arial" w:hAnsi="Arial" w:cs="Arial"/>
        </w:rPr>
        <w:tab/>
      </w:r>
    </w:p>
    <w:p w:rsidR="000078BF" w:rsidRPr="00F006B5" w:rsidRDefault="000078BF" w:rsidP="00C43475">
      <w:pPr>
        <w:ind w:left="3600" w:right="-514" w:hanging="3600"/>
        <w:rPr>
          <w:rFonts w:ascii="Arial" w:hAnsi="Arial" w:cs="Arial"/>
        </w:rPr>
      </w:pPr>
      <w:r w:rsidRPr="00F006B5">
        <w:rPr>
          <w:rFonts w:ascii="Arial" w:hAnsi="Arial" w:cs="Arial"/>
          <w:b/>
          <w:bCs/>
        </w:rPr>
        <w:t>Recommendation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1553E9">
        <w:rPr>
          <w:rFonts w:ascii="Arial" w:hAnsi="Arial" w:cs="Arial"/>
        </w:rPr>
        <w:t>Board members are asked to approve the award of the internal audit contract</w:t>
      </w:r>
      <w:r w:rsidRPr="00F006B5">
        <w:rPr>
          <w:rFonts w:ascii="Arial" w:hAnsi="Arial" w:cs="Arial"/>
        </w:rPr>
        <w:t>.</w:t>
      </w:r>
    </w:p>
    <w:p w:rsidR="000078BF" w:rsidRPr="00F006B5" w:rsidRDefault="000078BF" w:rsidP="00C43475">
      <w:pPr>
        <w:rPr>
          <w:rFonts w:ascii="Arial" w:hAnsi="Arial" w:cs="Arial"/>
        </w:rPr>
      </w:pPr>
    </w:p>
    <w:p w:rsidR="000078BF" w:rsidRPr="00F006B5" w:rsidRDefault="00C43475" w:rsidP="00C43475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</w:p>
    <w:p w:rsidR="000078BF" w:rsidRPr="00F006B5" w:rsidRDefault="000078BF" w:rsidP="00C43475">
      <w:pPr>
        <w:rPr>
          <w:rFonts w:ascii="Arial" w:hAnsi="Arial" w:cs="Arial"/>
        </w:rPr>
      </w:pPr>
    </w:p>
    <w:p w:rsidR="000078BF" w:rsidRPr="00F006B5" w:rsidRDefault="000078BF" w:rsidP="00C43475">
      <w:pPr>
        <w:pStyle w:val="Heading2"/>
        <w:numPr>
          <w:ilvl w:val="0"/>
          <w:numId w:val="12"/>
        </w:numPr>
        <w:tabs>
          <w:tab w:val="clear" w:pos="1440"/>
        </w:tabs>
        <w:ind w:left="540" w:hanging="540"/>
        <w:rPr>
          <w:rFonts w:ascii="Arial" w:hAnsi="Arial" w:cs="Arial"/>
        </w:rPr>
      </w:pPr>
      <w:r w:rsidRPr="00F006B5">
        <w:rPr>
          <w:rFonts w:ascii="Arial" w:hAnsi="Arial" w:cs="Arial"/>
        </w:rPr>
        <w:t>Background</w:t>
      </w:r>
    </w:p>
    <w:p w:rsidR="000078BF" w:rsidRPr="00F006B5" w:rsidRDefault="000078BF" w:rsidP="00C43475">
      <w:pPr>
        <w:rPr>
          <w:rFonts w:ascii="Arial" w:hAnsi="Arial" w:cs="Arial"/>
          <w:b/>
          <w:bCs/>
        </w:rPr>
      </w:pPr>
    </w:p>
    <w:p w:rsidR="000078BF" w:rsidRDefault="00C43475" w:rsidP="00C43475">
      <w:pPr>
        <w:pStyle w:val="BodyText"/>
        <w:ind w:left="540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As advised to previously, </w:t>
      </w:r>
      <w:r w:rsidR="000078BF" w:rsidRPr="00F006B5">
        <w:rPr>
          <w:rFonts w:ascii="Arial" w:hAnsi="Arial" w:cs="Arial"/>
          <w:b w:val="0"/>
          <w:bCs w:val="0"/>
        </w:rPr>
        <w:t>the Board’s current contract for provision of internal audit services end</w:t>
      </w:r>
      <w:r w:rsidR="000078BF">
        <w:rPr>
          <w:rFonts w:ascii="Arial" w:hAnsi="Arial" w:cs="Arial"/>
          <w:b w:val="0"/>
          <w:bCs w:val="0"/>
        </w:rPr>
        <w:t>ed</w:t>
      </w:r>
      <w:r w:rsidR="000078BF" w:rsidRPr="00F006B5">
        <w:rPr>
          <w:rFonts w:ascii="Arial" w:hAnsi="Arial" w:cs="Arial"/>
          <w:b w:val="0"/>
          <w:bCs w:val="0"/>
        </w:rPr>
        <w:t xml:space="preserve"> on 31 March 201</w:t>
      </w:r>
      <w:r w:rsidR="000078BF">
        <w:rPr>
          <w:rFonts w:ascii="Arial" w:hAnsi="Arial" w:cs="Arial"/>
          <w:b w:val="0"/>
          <w:bCs w:val="0"/>
        </w:rPr>
        <w:t>8</w:t>
      </w:r>
      <w:r w:rsidR="000078BF" w:rsidRPr="00F006B5">
        <w:rPr>
          <w:rFonts w:ascii="Arial" w:hAnsi="Arial" w:cs="Arial"/>
          <w:b w:val="0"/>
          <w:bCs w:val="0"/>
        </w:rPr>
        <w:t xml:space="preserve">.  In light of this, and </w:t>
      </w:r>
      <w:r w:rsidR="000078BF">
        <w:rPr>
          <w:rFonts w:ascii="Arial" w:hAnsi="Arial" w:cs="Arial"/>
          <w:b w:val="0"/>
          <w:bCs w:val="0"/>
        </w:rPr>
        <w:t>in line with the regional work undertaken</w:t>
      </w:r>
      <w:r w:rsidR="000078BF" w:rsidRPr="00F006B5">
        <w:rPr>
          <w:rFonts w:ascii="Arial" w:hAnsi="Arial" w:cs="Arial"/>
          <w:b w:val="0"/>
          <w:bCs w:val="0"/>
        </w:rPr>
        <w:t>, the Board undertook a joint tendering exercise with</w:t>
      </w:r>
      <w:r w:rsidR="000078BF">
        <w:rPr>
          <w:rFonts w:ascii="Arial" w:hAnsi="Arial" w:cs="Arial"/>
          <w:b w:val="0"/>
          <w:bCs w:val="0"/>
        </w:rPr>
        <w:t xml:space="preserve"> NHS Ayrshire and Arran, NHS24 and </w:t>
      </w:r>
      <w:r w:rsidR="000078BF" w:rsidRPr="00F006B5">
        <w:rPr>
          <w:rFonts w:ascii="Arial" w:hAnsi="Arial" w:cs="Arial"/>
          <w:b w:val="0"/>
          <w:bCs w:val="0"/>
        </w:rPr>
        <w:t xml:space="preserve">NHS Greater Glasgow and </w:t>
      </w:r>
      <w:smartTag w:uri="urn:schemas-microsoft-com:office:smarttags" w:element="place">
        <w:r w:rsidR="000078BF" w:rsidRPr="00F006B5">
          <w:rPr>
            <w:rFonts w:ascii="Arial" w:hAnsi="Arial" w:cs="Arial"/>
            <w:b w:val="0"/>
            <w:bCs w:val="0"/>
          </w:rPr>
          <w:t>Clyde</w:t>
        </w:r>
      </w:smartTag>
      <w:r w:rsidR="000078BF" w:rsidRPr="00F006B5">
        <w:rPr>
          <w:rFonts w:ascii="Arial" w:hAnsi="Arial" w:cs="Arial"/>
          <w:b w:val="0"/>
          <w:bCs w:val="0"/>
        </w:rPr>
        <w:t xml:space="preserve"> for the provision of internal audit services from </w:t>
      </w:r>
      <w:r w:rsidR="000078BF">
        <w:rPr>
          <w:rFonts w:ascii="Arial" w:hAnsi="Arial" w:cs="Arial"/>
          <w:b w:val="0"/>
          <w:bCs w:val="0"/>
        </w:rPr>
        <w:t>5</w:t>
      </w:r>
      <w:r w:rsidR="000078BF" w:rsidRPr="00F006B5">
        <w:rPr>
          <w:rFonts w:ascii="Arial" w:hAnsi="Arial" w:cs="Arial"/>
          <w:b w:val="0"/>
          <w:bCs w:val="0"/>
        </w:rPr>
        <w:t xml:space="preserve"> </w:t>
      </w:r>
      <w:r w:rsidR="000078BF">
        <w:rPr>
          <w:rFonts w:ascii="Arial" w:hAnsi="Arial" w:cs="Arial"/>
          <w:b w:val="0"/>
          <w:bCs w:val="0"/>
        </w:rPr>
        <w:t>May 2018</w:t>
      </w:r>
      <w:r w:rsidR="000078BF" w:rsidRPr="00F006B5">
        <w:rPr>
          <w:rFonts w:ascii="Arial" w:hAnsi="Arial" w:cs="Arial"/>
          <w:b w:val="0"/>
          <w:bCs w:val="0"/>
        </w:rPr>
        <w:t xml:space="preserve">.  </w:t>
      </w:r>
    </w:p>
    <w:p w:rsidR="000078BF" w:rsidRDefault="000078BF" w:rsidP="00C43475">
      <w:pPr>
        <w:pStyle w:val="BodyText"/>
        <w:ind w:left="540"/>
        <w:rPr>
          <w:rFonts w:ascii="Arial" w:hAnsi="Arial" w:cs="Arial"/>
          <w:b w:val="0"/>
          <w:bCs w:val="0"/>
        </w:rPr>
      </w:pPr>
    </w:p>
    <w:p w:rsidR="000078BF" w:rsidRDefault="0061492F" w:rsidP="00C43475">
      <w:pPr>
        <w:pStyle w:val="BodyText"/>
        <w:ind w:left="540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As advised in previous papers </w:t>
      </w:r>
      <w:r w:rsidR="001553E9">
        <w:rPr>
          <w:rFonts w:ascii="Arial" w:hAnsi="Arial" w:cs="Arial"/>
          <w:b w:val="0"/>
          <w:bCs w:val="0"/>
        </w:rPr>
        <w:t xml:space="preserve">to the audit and risk committee </w:t>
      </w:r>
      <w:r>
        <w:rPr>
          <w:rFonts w:ascii="Arial" w:hAnsi="Arial" w:cs="Arial"/>
          <w:b w:val="0"/>
          <w:bCs w:val="0"/>
        </w:rPr>
        <w:t>t</w:t>
      </w:r>
      <w:r w:rsidR="000078BF">
        <w:rPr>
          <w:rFonts w:ascii="Arial" w:hAnsi="Arial" w:cs="Arial"/>
          <w:b w:val="0"/>
          <w:bCs w:val="0"/>
        </w:rPr>
        <w:t xml:space="preserve">he current tender was advertised in lots for this contract as opposed to </w:t>
      </w:r>
      <w:r>
        <w:rPr>
          <w:rFonts w:ascii="Arial" w:hAnsi="Arial" w:cs="Arial"/>
          <w:b w:val="0"/>
          <w:bCs w:val="0"/>
        </w:rPr>
        <w:t xml:space="preserve">core </w:t>
      </w:r>
      <w:r w:rsidR="000078BF">
        <w:rPr>
          <w:rFonts w:ascii="Arial" w:hAnsi="Arial" w:cs="Arial"/>
          <w:b w:val="0"/>
          <w:bCs w:val="0"/>
        </w:rPr>
        <w:t>contract for the four bodies, the lots are noted in the table below:</w:t>
      </w:r>
    </w:p>
    <w:p w:rsidR="000078BF" w:rsidRDefault="000078BF" w:rsidP="00C43475">
      <w:pPr>
        <w:pStyle w:val="BodyText"/>
        <w:ind w:left="540"/>
        <w:rPr>
          <w:rFonts w:ascii="Arial" w:hAnsi="Arial" w:cs="Arial"/>
          <w:b w:val="0"/>
          <w:bCs w:val="0"/>
        </w:rPr>
      </w:pPr>
    </w:p>
    <w:tbl>
      <w:tblPr>
        <w:tblStyle w:val="TableGrid"/>
        <w:tblW w:w="0" w:type="auto"/>
        <w:tblInd w:w="968" w:type="dxa"/>
        <w:tblLook w:val="01E0"/>
      </w:tblPr>
      <w:tblGrid>
        <w:gridCol w:w="2132"/>
        <w:gridCol w:w="2132"/>
        <w:gridCol w:w="2132"/>
      </w:tblGrid>
      <w:tr w:rsidR="000078BF" w:rsidRPr="002E3290" w:rsidTr="009F762C">
        <w:tc>
          <w:tcPr>
            <w:tcW w:w="2132" w:type="dxa"/>
          </w:tcPr>
          <w:p w:rsidR="000078BF" w:rsidRPr="002E3290" w:rsidRDefault="000078BF" w:rsidP="00C43475">
            <w:pPr>
              <w:pStyle w:val="BodyText"/>
              <w:jc w:val="center"/>
              <w:rPr>
                <w:rFonts w:ascii="Arial" w:hAnsi="Arial" w:cs="Arial"/>
                <w:bCs w:val="0"/>
              </w:rPr>
            </w:pPr>
            <w:r w:rsidRPr="002E3290">
              <w:rPr>
                <w:rFonts w:ascii="Arial" w:hAnsi="Arial" w:cs="Arial"/>
                <w:bCs w:val="0"/>
              </w:rPr>
              <w:t>Lot one</w:t>
            </w:r>
          </w:p>
          <w:p w:rsidR="000078BF" w:rsidRPr="002E3290" w:rsidRDefault="000078BF" w:rsidP="00C43475">
            <w:pPr>
              <w:pStyle w:val="BodyText"/>
              <w:jc w:val="center"/>
              <w:rPr>
                <w:rFonts w:ascii="Arial" w:hAnsi="Arial" w:cs="Arial"/>
                <w:bCs w:val="0"/>
              </w:rPr>
            </w:pPr>
            <w:r w:rsidRPr="002E3290">
              <w:rPr>
                <w:rFonts w:ascii="Arial" w:hAnsi="Arial" w:cs="Arial"/>
                <w:bCs w:val="0"/>
              </w:rPr>
              <w:t>NHS GG&amp;C</w:t>
            </w:r>
          </w:p>
        </w:tc>
        <w:tc>
          <w:tcPr>
            <w:tcW w:w="2132" w:type="dxa"/>
          </w:tcPr>
          <w:p w:rsidR="000078BF" w:rsidRDefault="000078BF" w:rsidP="00C43475">
            <w:pPr>
              <w:pStyle w:val="BodyText"/>
              <w:jc w:val="center"/>
              <w:rPr>
                <w:rFonts w:ascii="Arial" w:hAnsi="Arial" w:cs="Arial"/>
                <w:bCs w:val="0"/>
              </w:rPr>
            </w:pPr>
            <w:smartTag w:uri="urn:schemas-microsoft-com:office:smarttags" w:element="place">
              <w:r>
                <w:rPr>
                  <w:rFonts w:ascii="Arial" w:hAnsi="Arial" w:cs="Arial"/>
                  <w:bCs w:val="0"/>
                </w:rPr>
                <w:t>Lot</w:t>
              </w:r>
            </w:smartTag>
            <w:r>
              <w:rPr>
                <w:rFonts w:ascii="Arial" w:hAnsi="Arial" w:cs="Arial"/>
                <w:bCs w:val="0"/>
              </w:rPr>
              <w:t xml:space="preserve"> Two</w:t>
            </w:r>
          </w:p>
          <w:p w:rsidR="000078BF" w:rsidRPr="002E3290" w:rsidRDefault="000078BF" w:rsidP="00C43475">
            <w:pPr>
              <w:pStyle w:val="BodyText"/>
              <w:jc w:val="center"/>
              <w:rPr>
                <w:rFonts w:ascii="Arial" w:hAnsi="Arial" w:cs="Arial"/>
                <w:bCs w:val="0"/>
              </w:rPr>
            </w:pPr>
            <w:r>
              <w:rPr>
                <w:rFonts w:ascii="Arial" w:hAnsi="Arial" w:cs="Arial"/>
                <w:bCs w:val="0"/>
              </w:rPr>
              <w:t xml:space="preserve">NHS Ayrshire and Arran, NHS24 and </w:t>
            </w:r>
            <w:r w:rsidR="00C43475">
              <w:rPr>
                <w:rFonts w:ascii="Arial" w:hAnsi="Arial" w:cs="Arial"/>
                <w:bCs w:val="0"/>
              </w:rPr>
              <w:t>GJF</w:t>
            </w:r>
          </w:p>
        </w:tc>
        <w:tc>
          <w:tcPr>
            <w:tcW w:w="2132" w:type="dxa"/>
          </w:tcPr>
          <w:p w:rsidR="000078BF" w:rsidRDefault="000078BF" w:rsidP="00C43475">
            <w:pPr>
              <w:pStyle w:val="BodyText"/>
              <w:jc w:val="center"/>
              <w:rPr>
                <w:rFonts w:ascii="Arial" w:hAnsi="Arial" w:cs="Arial"/>
                <w:bCs w:val="0"/>
              </w:rPr>
            </w:pPr>
            <w:smartTag w:uri="urn:schemas-microsoft-com:office:smarttags" w:element="place">
              <w:r>
                <w:rPr>
                  <w:rFonts w:ascii="Arial" w:hAnsi="Arial" w:cs="Arial"/>
                  <w:bCs w:val="0"/>
                </w:rPr>
                <w:t>Lot</w:t>
              </w:r>
            </w:smartTag>
            <w:r>
              <w:rPr>
                <w:rFonts w:ascii="Arial" w:hAnsi="Arial" w:cs="Arial"/>
                <w:bCs w:val="0"/>
              </w:rPr>
              <w:t xml:space="preserve"> Three</w:t>
            </w:r>
          </w:p>
          <w:p w:rsidR="000078BF" w:rsidRPr="002E3290" w:rsidRDefault="000078BF" w:rsidP="00C43475">
            <w:pPr>
              <w:pStyle w:val="BodyText"/>
              <w:jc w:val="center"/>
              <w:rPr>
                <w:rFonts w:ascii="Arial" w:hAnsi="Arial" w:cs="Arial"/>
                <w:bCs w:val="0"/>
              </w:rPr>
            </w:pPr>
            <w:r>
              <w:rPr>
                <w:rFonts w:ascii="Arial" w:hAnsi="Arial" w:cs="Arial"/>
                <w:bCs w:val="0"/>
              </w:rPr>
              <w:t>All Boards</w:t>
            </w:r>
          </w:p>
        </w:tc>
      </w:tr>
      <w:tr w:rsidR="000078BF" w:rsidTr="009F762C">
        <w:tc>
          <w:tcPr>
            <w:tcW w:w="2132" w:type="dxa"/>
          </w:tcPr>
          <w:p w:rsidR="000078BF" w:rsidRDefault="000078BF" w:rsidP="00C43475">
            <w:pPr>
              <w:pStyle w:val="BodyText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Ernst &amp; Young</w:t>
            </w:r>
          </w:p>
        </w:tc>
        <w:tc>
          <w:tcPr>
            <w:tcW w:w="2132" w:type="dxa"/>
          </w:tcPr>
          <w:p w:rsidR="000078BF" w:rsidRDefault="000078BF" w:rsidP="00C43475">
            <w:pPr>
              <w:pStyle w:val="BodyText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Ernst &amp; Young</w:t>
            </w:r>
          </w:p>
        </w:tc>
        <w:tc>
          <w:tcPr>
            <w:tcW w:w="2132" w:type="dxa"/>
          </w:tcPr>
          <w:p w:rsidR="000078BF" w:rsidRDefault="000078BF" w:rsidP="00C43475">
            <w:pPr>
              <w:pStyle w:val="BodyText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Ernst &amp; Young</w:t>
            </w:r>
          </w:p>
        </w:tc>
      </w:tr>
      <w:tr w:rsidR="000078BF" w:rsidTr="009F762C">
        <w:tc>
          <w:tcPr>
            <w:tcW w:w="2132" w:type="dxa"/>
          </w:tcPr>
          <w:p w:rsidR="000078BF" w:rsidRDefault="000078BF" w:rsidP="00C43475">
            <w:pPr>
              <w:pStyle w:val="BodyText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Grant Thornton</w:t>
            </w:r>
          </w:p>
        </w:tc>
        <w:tc>
          <w:tcPr>
            <w:tcW w:w="2132" w:type="dxa"/>
          </w:tcPr>
          <w:p w:rsidR="000078BF" w:rsidRDefault="000078BF" w:rsidP="00C43475">
            <w:pPr>
              <w:pStyle w:val="BodyText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Grant Thornton</w:t>
            </w:r>
          </w:p>
        </w:tc>
        <w:tc>
          <w:tcPr>
            <w:tcW w:w="2132" w:type="dxa"/>
          </w:tcPr>
          <w:p w:rsidR="000078BF" w:rsidRDefault="000078BF" w:rsidP="00C43475">
            <w:pPr>
              <w:pStyle w:val="BodyText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Grant Thornton</w:t>
            </w:r>
          </w:p>
        </w:tc>
      </w:tr>
      <w:tr w:rsidR="000078BF" w:rsidTr="009F762C">
        <w:tc>
          <w:tcPr>
            <w:tcW w:w="2132" w:type="dxa"/>
          </w:tcPr>
          <w:p w:rsidR="000078BF" w:rsidRDefault="000078BF" w:rsidP="00C43475">
            <w:pPr>
              <w:pStyle w:val="BodyText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PWC</w:t>
            </w:r>
          </w:p>
        </w:tc>
        <w:tc>
          <w:tcPr>
            <w:tcW w:w="2132" w:type="dxa"/>
          </w:tcPr>
          <w:p w:rsidR="000078BF" w:rsidRDefault="000078BF" w:rsidP="00C43475">
            <w:pPr>
              <w:pStyle w:val="BodyText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PWC</w:t>
            </w:r>
          </w:p>
        </w:tc>
        <w:tc>
          <w:tcPr>
            <w:tcW w:w="2132" w:type="dxa"/>
          </w:tcPr>
          <w:p w:rsidR="000078BF" w:rsidRDefault="000078BF" w:rsidP="00C43475">
            <w:pPr>
              <w:pStyle w:val="BodyText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PWC</w:t>
            </w:r>
          </w:p>
        </w:tc>
      </w:tr>
      <w:tr w:rsidR="000078BF" w:rsidTr="009F762C">
        <w:tc>
          <w:tcPr>
            <w:tcW w:w="2132" w:type="dxa"/>
          </w:tcPr>
          <w:p w:rsidR="000078BF" w:rsidRDefault="000078BF" w:rsidP="00C43475">
            <w:pPr>
              <w:pStyle w:val="BodyText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RSM</w:t>
            </w:r>
          </w:p>
        </w:tc>
        <w:tc>
          <w:tcPr>
            <w:tcW w:w="2132" w:type="dxa"/>
          </w:tcPr>
          <w:p w:rsidR="000078BF" w:rsidRDefault="000078BF" w:rsidP="00C43475">
            <w:pPr>
              <w:pStyle w:val="BodyText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RSM</w:t>
            </w:r>
          </w:p>
        </w:tc>
        <w:tc>
          <w:tcPr>
            <w:tcW w:w="2132" w:type="dxa"/>
          </w:tcPr>
          <w:p w:rsidR="000078BF" w:rsidRDefault="000078BF" w:rsidP="00C43475">
            <w:pPr>
              <w:pStyle w:val="BodyText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RSM</w:t>
            </w:r>
          </w:p>
        </w:tc>
      </w:tr>
      <w:tr w:rsidR="000078BF" w:rsidTr="009F762C">
        <w:tc>
          <w:tcPr>
            <w:tcW w:w="2132" w:type="dxa"/>
          </w:tcPr>
          <w:p w:rsidR="000078BF" w:rsidRDefault="000078BF" w:rsidP="00C43475">
            <w:pPr>
              <w:pStyle w:val="BodyText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Scott- Moncrieff</w:t>
            </w:r>
          </w:p>
        </w:tc>
        <w:tc>
          <w:tcPr>
            <w:tcW w:w="2132" w:type="dxa"/>
          </w:tcPr>
          <w:p w:rsidR="000078BF" w:rsidRDefault="000078BF" w:rsidP="00C43475">
            <w:pPr>
              <w:pStyle w:val="BodyText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132" w:type="dxa"/>
          </w:tcPr>
          <w:p w:rsidR="000078BF" w:rsidRDefault="000078BF" w:rsidP="00C43475">
            <w:pPr>
              <w:pStyle w:val="BodyText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:rsidR="000078BF" w:rsidRDefault="000078BF" w:rsidP="00C43475">
      <w:pPr>
        <w:pStyle w:val="BodyText"/>
        <w:ind w:left="540"/>
        <w:rPr>
          <w:rFonts w:ascii="Arial" w:hAnsi="Arial" w:cs="Arial"/>
          <w:b w:val="0"/>
          <w:bCs w:val="0"/>
        </w:rPr>
      </w:pPr>
    </w:p>
    <w:p w:rsidR="000078BF" w:rsidRDefault="000078BF" w:rsidP="00C43475">
      <w:pPr>
        <w:pStyle w:val="BodyText"/>
        <w:ind w:left="540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It should be noted that bidders were precluded from tendering for Boards for which they provide</w:t>
      </w:r>
      <w:r w:rsidR="001553E9">
        <w:rPr>
          <w:rFonts w:ascii="Arial" w:hAnsi="Arial" w:cs="Arial"/>
          <w:b w:val="0"/>
          <w:bCs w:val="0"/>
        </w:rPr>
        <w:t xml:space="preserve"> external</w:t>
      </w:r>
      <w:r>
        <w:rPr>
          <w:rFonts w:ascii="Arial" w:hAnsi="Arial" w:cs="Arial"/>
          <w:b w:val="0"/>
          <w:bCs w:val="0"/>
        </w:rPr>
        <w:t xml:space="preserve"> audit services.</w:t>
      </w:r>
    </w:p>
    <w:p w:rsidR="000078BF" w:rsidRPr="00F006B5" w:rsidRDefault="000078BF" w:rsidP="00C43475">
      <w:pPr>
        <w:pStyle w:val="BodyText"/>
        <w:rPr>
          <w:rFonts w:ascii="Arial" w:hAnsi="Arial" w:cs="Arial"/>
          <w:b w:val="0"/>
          <w:bCs w:val="0"/>
        </w:rPr>
      </w:pPr>
    </w:p>
    <w:p w:rsidR="000078BF" w:rsidRPr="00F006B5" w:rsidRDefault="000078BF" w:rsidP="00C43475">
      <w:pPr>
        <w:pStyle w:val="Heading2"/>
        <w:numPr>
          <w:ilvl w:val="0"/>
          <w:numId w:val="12"/>
        </w:numPr>
        <w:tabs>
          <w:tab w:val="clear" w:pos="1440"/>
        </w:tabs>
        <w:ind w:left="540" w:hanging="540"/>
        <w:rPr>
          <w:rFonts w:ascii="Arial" w:hAnsi="Arial" w:cs="Arial"/>
        </w:rPr>
      </w:pPr>
      <w:r w:rsidRPr="00F006B5">
        <w:rPr>
          <w:rFonts w:ascii="Arial" w:hAnsi="Arial" w:cs="Arial"/>
        </w:rPr>
        <w:t>The Process</w:t>
      </w:r>
    </w:p>
    <w:p w:rsidR="000078BF" w:rsidRPr="00F006B5" w:rsidRDefault="000078BF" w:rsidP="00C43475">
      <w:pPr>
        <w:rPr>
          <w:rFonts w:ascii="Arial" w:hAnsi="Arial" w:cs="Arial"/>
        </w:rPr>
      </w:pPr>
    </w:p>
    <w:p w:rsidR="000078BF" w:rsidRDefault="000078BF" w:rsidP="00C43475">
      <w:pPr>
        <w:pStyle w:val="BodyText"/>
        <w:ind w:left="540"/>
        <w:rPr>
          <w:rFonts w:ascii="Arial" w:hAnsi="Arial" w:cs="Arial"/>
          <w:b w:val="0"/>
          <w:bCs w:val="0"/>
        </w:rPr>
      </w:pPr>
      <w:r w:rsidRPr="00F006B5">
        <w:rPr>
          <w:rFonts w:ascii="Arial" w:hAnsi="Arial" w:cs="Arial"/>
          <w:b w:val="0"/>
          <w:bCs w:val="0"/>
        </w:rPr>
        <w:t xml:space="preserve">It was agreed with </w:t>
      </w:r>
      <w:r>
        <w:rPr>
          <w:rFonts w:ascii="Arial" w:hAnsi="Arial" w:cs="Arial"/>
          <w:b w:val="0"/>
          <w:bCs w:val="0"/>
        </w:rPr>
        <w:t xml:space="preserve">the </w:t>
      </w:r>
      <w:r w:rsidRPr="00F006B5">
        <w:rPr>
          <w:rFonts w:ascii="Arial" w:hAnsi="Arial" w:cs="Arial"/>
          <w:b w:val="0"/>
          <w:bCs w:val="0"/>
        </w:rPr>
        <w:t>procurement departments and Directors of Finance that the tender would</w:t>
      </w:r>
      <w:r>
        <w:rPr>
          <w:rFonts w:ascii="Arial" w:hAnsi="Arial" w:cs="Arial"/>
          <w:b w:val="0"/>
          <w:bCs w:val="0"/>
        </w:rPr>
        <w:t xml:space="preserve"> be</w:t>
      </w:r>
      <w:r w:rsidRPr="00F006B5">
        <w:rPr>
          <w:rFonts w:ascii="Arial" w:hAnsi="Arial" w:cs="Arial"/>
          <w:b w:val="0"/>
          <w:bCs w:val="0"/>
        </w:rPr>
        <w:t xml:space="preserve"> </w:t>
      </w:r>
      <w:r>
        <w:rPr>
          <w:rFonts w:ascii="Arial" w:hAnsi="Arial" w:cs="Arial"/>
          <w:b w:val="0"/>
          <w:bCs w:val="0"/>
        </w:rPr>
        <w:t>undertaken following OJEU regulations</w:t>
      </w:r>
      <w:r w:rsidRPr="00F006B5">
        <w:rPr>
          <w:rFonts w:ascii="Arial" w:hAnsi="Arial" w:cs="Arial"/>
          <w:b w:val="0"/>
          <w:bCs w:val="0"/>
        </w:rPr>
        <w:t xml:space="preserve">.  </w:t>
      </w:r>
    </w:p>
    <w:p w:rsidR="000078BF" w:rsidRDefault="000078BF" w:rsidP="00C43475">
      <w:pPr>
        <w:pStyle w:val="BodyText"/>
        <w:rPr>
          <w:rFonts w:ascii="Arial" w:hAnsi="Arial" w:cs="Arial"/>
          <w:b w:val="0"/>
          <w:bCs w:val="0"/>
        </w:rPr>
      </w:pPr>
    </w:p>
    <w:p w:rsidR="000078BF" w:rsidRDefault="000078BF" w:rsidP="00C43475">
      <w:pPr>
        <w:pStyle w:val="BodyText"/>
        <w:ind w:left="540"/>
        <w:rPr>
          <w:rFonts w:ascii="Arial" w:hAnsi="Arial" w:cs="Arial"/>
          <w:bCs w:val="0"/>
        </w:rPr>
      </w:pPr>
      <w:r w:rsidRPr="00F006B5">
        <w:rPr>
          <w:rFonts w:ascii="Arial" w:hAnsi="Arial" w:cs="Arial"/>
          <w:bCs w:val="0"/>
        </w:rPr>
        <w:t>First Stage Evaluation</w:t>
      </w:r>
    </w:p>
    <w:p w:rsidR="0007089F" w:rsidRPr="00F006B5" w:rsidRDefault="0007089F" w:rsidP="00C43475">
      <w:pPr>
        <w:pStyle w:val="BodyText"/>
        <w:ind w:left="540"/>
        <w:rPr>
          <w:rFonts w:ascii="Arial" w:hAnsi="Arial" w:cs="Arial"/>
          <w:bCs w:val="0"/>
        </w:rPr>
      </w:pPr>
    </w:p>
    <w:p w:rsidR="0007089F" w:rsidRPr="00F006B5" w:rsidRDefault="0007089F" w:rsidP="00C43475">
      <w:pPr>
        <w:pStyle w:val="BodyText"/>
        <w:ind w:left="540"/>
        <w:rPr>
          <w:rFonts w:ascii="Arial" w:hAnsi="Arial" w:cs="Arial"/>
          <w:b w:val="0"/>
          <w:bCs w:val="0"/>
        </w:rPr>
      </w:pPr>
      <w:r w:rsidRPr="00F006B5">
        <w:rPr>
          <w:rFonts w:ascii="Arial" w:hAnsi="Arial" w:cs="Arial"/>
          <w:b w:val="0"/>
          <w:bCs w:val="0"/>
        </w:rPr>
        <w:t xml:space="preserve">A working group was established to undertake the initial </w:t>
      </w:r>
      <w:r>
        <w:rPr>
          <w:rFonts w:ascii="Arial" w:hAnsi="Arial" w:cs="Arial"/>
          <w:b w:val="0"/>
          <w:bCs w:val="0"/>
        </w:rPr>
        <w:t xml:space="preserve">Tender </w:t>
      </w:r>
      <w:r w:rsidRPr="00F006B5">
        <w:rPr>
          <w:rFonts w:ascii="Arial" w:hAnsi="Arial" w:cs="Arial"/>
          <w:b w:val="0"/>
          <w:bCs w:val="0"/>
        </w:rPr>
        <w:t>evaluation</w:t>
      </w:r>
      <w:r>
        <w:rPr>
          <w:rFonts w:ascii="Arial" w:hAnsi="Arial" w:cs="Arial"/>
          <w:b w:val="0"/>
          <w:bCs w:val="0"/>
        </w:rPr>
        <w:t xml:space="preserve">, </w:t>
      </w:r>
      <w:r w:rsidRPr="00F006B5">
        <w:rPr>
          <w:rFonts w:ascii="Arial" w:hAnsi="Arial" w:cs="Arial"/>
          <w:b w:val="0"/>
          <w:bCs w:val="0"/>
        </w:rPr>
        <w:t>consist</w:t>
      </w:r>
      <w:r>
        <w:rPr>
          <w:rFonts w:ascii="Arial" w:hAnsi="Arial" w:cs="Arial"/>
          <w:b w:val="0"/>
          <w:bCs w:val="0"/>
        </w:rPr>
        <w:t xml:space="preserve">ing </w:t>
      </w:r>
      <w:r w:rsidRPr="00F006B5">
        <w:rPr>
          <w:rFonts w:ascii="Arial" w:hAnsi="Arial" w:cs="Arial"/>
          <w:b w:val="0"/>
          <w:bCs w:val="0"/>
        </w:rPr>
        <w:t xml:space="preserve">of the </w:t>
      </w:r>
      <w:r>
        <w:rPr>
          <w:rFonts w:ascii="Arial" w:hAnsi="Arial" w:cs="Arial"/>
          <w:b w:val="0"/>
          <w:bCs w:val="0"/>
        </w:rPr>
        <w:t>Assistant Directors of Finance for each of the Boards.</w:t>
      </w:r>
    </w:p>
    <w:p w:rsidR="000078BF" w:rsidRPr="00175B9C" w:rsidRDefault="001553E9" w:rsidP="00C43475">
      <w:pPr>
        <w:pStyle w:val="BodyText"/>
        <w:ind w:left="540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lastRenderedPageBreak/>
        <w:t>T</w:t>
      </w:r>
      <w:r w:rsidR="000078BF" w:rsidRPr="00175B9C">
        <w:rPr>
          <w:rFonts w:ascii="Arial" w:hAnsi="Arial" w:cs="Arial"/>
          <w:b w:val="0"/>
          <w:bCs w:val="0"/>
        </w:rPr>
        <w:t xml:space="preserve">he group </w:t>
      </w:r>
      <w:r>
        <w:rPr>
          <w:rFonts w:ascii="Arial" w:hAnsi="Arial" w:cs="Arial"/>
          <w:b w:val="0"/>
          <w:bCs w:val="0"/>
        </w:rPr>
        <w:t xml:space="preserve">also </w:t>
      </w:r>
      <w:r w:rsidR="000078BF">
        <w:rPr>
          <w:rFonts w:ascii="Arial" w:hAnsi="Arial" w:cs="Arial"/>
          <w:b w:val="0"/>
          <w:bCs w:val="0"/>
        </w:rPr>
        <w:t xml:space="preserve">held a </w:t>
      </w:r>
      <w:r w:rsidR="0061492F">
        <w:rPr>
          <w:rFonts w:ascii="Arial" w:hAnsi="Arial" w:cs="Arial"/>
          <w:b w:val="0"/>
          <w:bCs w:val="0"/>
        </w:rPr>
        <w:t>‘</w:t>
      </w:r>
      <w:r w:rsidR="000078BF">
        <w:rPr>
          <w:rFonts w:ascii="Arial" w:hAnsi="Arial" w:cs="Arial"/>
          <w:b w:val="0"/>
          <w:bCs w:val="0"/>
        </w:rPr>
        <w:t>meet the bidder</w:t>
      </w:r>
      <w:r w:rsidR="0061492F">
        <w:rPr>
          <w:rFonts w:ascii="Arial" w:hAnsi="Arial" w:cs="Arial"/>
          <w:b w:val="0"/>
          <w:bCs w:val="0"/>
        </w:rPr>
        <w:t>’</w:t>
      </w:r>
      <w:r w:rsidR="000078BF">
        <w:rPr>
          <w:rFonts w:ascii="Arial" w:hAnsi="Arial" w:cs="Arial"/>
          <w:b w:val="0"/>
          <w:bCs w:val="0"/>
        </w:rPr>
        <w:t xml:space="preserve"> event on 8 March </w:t>
      </w:r>
      <w:r>
        <w:rPr>
          <w:rFonts w:ascii="Arial" w:hAnsi="Arial" w:cs="Arial"/>
          <w:b w:val="0"/>
          <w:bCs w:val="0"/>
        </w:rPr>
        <w:t xml:space="preserve">2018 </w:t>
      </w:r>
      <w:r w:rsidR="000078BF">
        <w:rPr>
          <w:rFonts w:ascii="Arial" w:hAnsi="Arial" w:cs="Arial"/>
          <w:b w:val="0"/>
          <w:bCs w:val="0"/>
        </w:rPr>
        <w:t>to enable all bidders to ask questions relating to the tender.</w:t>
      </w:r>
    </w:p>
    <w:p w:rsidR="000078BF" w:rsidRPr="00F006B5" w:rsidRDefault="000078BF" w:rsidP="00C43475">
      <w:pPr>
        <w:jc w:val="both"/>
        <w:rPr>
          <w:rFonts w:ascii="Arial" w:hAnsi="Arial" w:cs="Arial"/>
        </w:rPr>
      </w:pPr>
    </w:p>
    <w:p w:rsidR="000078BF" w:rsidRPr="00F006B5" w:rsidRDefault="000078BF" w:rsidP="00C43475">
      <w:pPr>
        <w:pStyle w:val="BodyText"/>
        <w:ind w:left="540"/>
        <w:rPr>
          <w:rFonts w:ascii="Arial" w:hAnsi="Arial" w:cs="Arial"/>
          <w:b w:val="0"/>
          <w:bCs w:val="0"/>
        </w:rPr>
      </w:pPr>
      <w:r w:rsidRPr="00F006B5">
        <w:rPr>
          <w:rFonts w:ascii="Arial" w:hAnsi="Arial" w:cs="Arial"/>
          <w:b w:val="0"/>
          <w:bCs w:val="0"/>
        </w:rPr>
        <w:t xml:space="preserve">The Group met on </w:t>
      </w:r>
      <w:r>
        <w:rPr>
          <w:rFonts w:ascii="Arial" w:hAnsi="Arial" w:cs="Arial"/>
          <w:b w:val="0"/>
          <w:bCs w:val="0"/>
        </w:rPr>
        <w:t>29 March 2018</w:t>
      </w:r>
      <w:r w:rsidRPr="00F006B5">
        <w:rPr>
          <w:rFonts w:ascii="Arial" w:hAnsi="Arial" w:cs="Arial"/>
          <w:b w:val="0"/>
          <w:bCs w:val="0"/>
        </w:rPr>
        <w:t xml:space="preserve"> to evaluate the </w:t>
      </w:r>
      <w:r>
        <w:rPr>
          <w:rFonts w:ascii="Arial" w:hAnsi="Arial" w:cs="Arial"/>
          <w:b w:val="0"/>
          <w:bCs w:val="0"/>
        </w:rPr>
        <w:t xml:space="preserve">tender </w:t>
      </w:r>
      <w:r w:rsidRPr="00F006B5">
        <w:rPr>
          <w:rFonts w:ascii="Arial" w:hAnsi="Arial" w:cs="Arial"/>
          <w:b w:val="0"/>
          <w:bCs w:val="0"/>
        </w:rPr>
        <w:t>s</w:t>
      </w:r>
      <w:r>
        <w:rPr>
          <w:rFonts w:ascii="Arial" w:hAnsi="Arial" w:cs="Arial"/>
          <w:b w:val="0"/>
          <w:bCs w:val="0"/>
        </w:rPr>
        <w:t>ubmissions</w:t>
      </w:r>
      <w:r w:rsidRPr="00F006B5">
        <w:rPr>
          <w:rFonts w:ascii="Arial" w:hAnsi="Arial" w:cs="Arial"/>
          <w:b w:val="0"/>
          <w:bCs w:val="0"/>
        </w:rPr>
        <w:t xml:space="preserve"> and </w:t>
      </w:r>
      <w:r>
        <w:rPr>
          <w:rFonts w:ascii="Arial" w:hAnsi="Arial" w:cs="Arial"/>
          <w:b w:val="0"/>
          <w:bCs w:val="0"/>
        </w:rPr>
        <w:t xml:space="preserve">to </w:t>
      </w:r>
      <w:r w:rsidRPr="00F006B5">
        <w:rPr>
          <w:rFonts w:ascii="Arial" w:hAnsi="Arial" w:cs="Arial"/>
          <w:b w:val="0"/>
          <w:bCs w:val="0"/>
        </w:rPr>
        <w:t xml:space="preserve">arrive at a consensus score for </w:t>
      </w:r>
      <w:r>
        <w:rPr>
          <w:rFonts w:ascii="Arial" w:hAnsi="Arial" w:cs="Arial"/>
          <w:b w:val="0"/>
          <w:bCs w:val="0"/>
        </w:rPr>
        <w:t>each tender</w:t>
      </w:r>
      <w:r w:rsidRPr="00F006B5">
        <w:rPr>
          <w:rFonts w:ascii="Arial" w:hAnsi="Arial" w:cs="Arial"/>
          <w:b w:val="0"/>
          <w:bCs w:val="0"/>
        </w:rPr>
        <w:t xml:space="preserve">.   </w:t>
      </w:r>
      <w:r>
        <w:rPr>
          <w:rFonts w:ascii="Arial" w:hAnsi="Arial" w:cs="Arial"/>
          <w:b w:val="0"/>
          <w:bCs w:val="0"/>
        </w:rPr>
        <w:t>One member</w:t>
      </w:r>
      <w:r w:rsidRPr="00F006B5">
        <w:rPr>
          <w:rFonts w:ascii="Arial" w:hAnsi="Arial" w:cs="Arial"/>
          <w:b w:val="0"/>
          <w:bCs w:val="0"/>
        </w:rPr>
        <w:t xml:space="preserve"> of the </w:t>
      </w:r>
      <w:r w:rsidR="0061492F">
        <w:rPr>
          <w:rFonts w:ascii="Arial" w:hAnsi="Arial" w:cs="Arial"/>
          <w:b w:val="0"/>
          <w:bCs w:val="0"/>
        </w:rPr>
        <w:t xml:space="preserve">NHS GG&amp;C </w:t>
      </w:r>
      <w:r w:rsidRPr="00F006B5">
        <w:rPr>
          <w:rFonts w:ascii="Arial" w:hAnsi="Arial" w:cs="Arial"/>
          <w:b w:val="0"/>
          <w:bCs w:val="0"/>
        </w:rPr>
        <w:t xml:space="preserve">Procurement Department attended the meeting to provide any advice required and to record the scores awarded to the </w:t>
      </w:r>
      <w:r>
        <w:rPr>
          <w:rFonts w:ascii="Arial" w:hAnsi="Arial" w:cs="Arial"/>
          <w:b w:val="0"/>
          <w:bCs w:val="0"/>
        </w:rPr>
        <w:t>tenders</w:t>
      </w:r>
      <w:r w:rsidRPr="00F006B5">
        <w:rPr>
          <w:rFonts w:ascii="Arial" w:hAnsi="Arial" w:cs="Arial"/>
          <w:b w:val="0"/>
          <w:bCs w:val="0"/>
        </w:rPr>
        <w:t>.</w:t>
      </w:r>
    </w:p>
    <w:p w:rsidR="000078BF" w:rsidRPr="00F006B5" w:rsidRDefault="000078BF" w:rsidP="00C43475">
      <w:pPr>
        <w:pStyle w:val="BodyText"/>
        <w:ind w:left="540"/>
        <w:rPr>
          <w:rFonts w:ascii="Arial" w:hAnsi="Arial" w:cs="Arial"/>
          <w:b w:val="0"/>
          <w:bCs w:val="0"/>
        </w:rPr>
      </w:pPr>
    </w:p>
    <w:p w:rsidR="000078BF" w:rsidRPr="00F006B5" w:rsidRDefault="000078BF" w:rsidP="00C43475">
      <w:pPr>
        <w:pStyle w:val="BodyText"/>
        <w:ind w:left="540"/>
        <w:rPr>
          <w:rFonts w:ascii="Arial" w:hAnsi="Arial" w:cs="Arial"/>
          <w:b w:val="0"/>
          <w:bCs w:val="0"/>
        </w:rPr>
      </w:pPr>
      <w:r w:rsidRPr="00F006B5">
        <w:rPr>
          <w:rFonts w:ascii="Arial" w:hAnsi="Arial" w:cs="Arial"/>
          <w:b w:val="0"/>
          <w:bCs w:val="0"/>
        </w:rPr>
        <w:t xml:space="preserve">In accordance with EU rules, the four </w:t>
      </w:r>
      <w:r>
        <w:rPr>
          <w:rFonts w:ascii="Arial" w:hAnsi="Arial" w:cs="Arial"/>
          <w:b w:val="0"/>
          <w:bCs w:val="0"/>
        </w:rPr>
        <w:t>tenders relating to Lot 2</w:t>
      </w:r>
      <w:r w:rsidRPr="00F006B5">
        <w:rPr>
          <w:rFonts w:ascii="Arial" w:hAnsi="Arial" w:cs="Arial"/>
          <w:b w:val="0"/>
          <w:bCs w:val="0"/>
        </w:rPr>
        <w:t xml:space="preserve"> were evaluated by the working group against the criteria defined in the specification, copy attached at appendix one.</w:t>
      </w:r>
      <w:r>
        <w:rPr>
          <w:rFonts w:ascii="Arial" w:hAnsi="Arial" w:cs="Arial"/>
          <w:b w:val="0"/>
          <w:bCs w:val="0"/>
        </w:rPr>
        <w:t xml:space="preserve">  Lot One tenders were evaluated by NHS GG&amp;C only.</w:t>
      </w:r>
    </w:p>
    <w:p w:rsidR="000078BF" w:rsidRPr="00F006B5" w:rsidRDefault="000078BF" w:rsidP="00C43475">
      <w:pPr>
        <w:pStyle w:val="BodyText"/>
        <w:ind w:left="540"/>
        <w:rPr>
          <w:rFonts w:ascii="Arial" w:hAnsi="Arial" w:cs="Arial"/>
          <w:b w:val="0"/>
          <w:bCs w:val="0"/>
        </w:rPr>
      </w:pPr>
    </w:p>
    <w:p w:rsidR="000078BF" w:rsidRPr="00F006B5" w:rsidRDefault="000078BF" w:rsidP="00C43475">
      <w:pPr>
        <w:pStyle w:val="BodyText"/>
        <w:ind w:left="54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In line with guidance any company who scored higher tha</w:t>
      </w:r>
      <w:r w:rsidR="00C873D4">
        <w:rPr>
          <w:rFonts w:ascii="Arial" w:hAnsi="Arial" w:cs="Arial"/>
          <w:b w:val="0"/>
        </w:rPr>
        <w:t>n</w:t>
      </w:r>
      <w:r>
        <w:rPr>
          <w:rFonts w:ascii="Arial" w:hAnsi="Arial" w:cs="Arial"/>
          <w:b w:val="0"/>
        </w:rPr>
        <w:t xml:space="preserve"> the threshold value was subsequently invited to tender, therefore two companies in Lot two were invited to attend stage two of the process – presentation and interview</w:t>
      </w:r>
      <w:r w:rsidRPr="00F006B5">
        <w:rPr>
          <w:rFonts w:ascii="Arial" w:hAnsi="Arial" w:cs="Arial"/>
          <w:b w:val="0"/>
        </w:rPr>
        <w:t xml:space="preserve">.  </w:t>
      </w:r>
    </w:p>
    <w:p w:rsidR="000078BF" w:rsidRPr="00F006B5" w:rsidRDefault="000078BF" w:rsidP="00C43475">
      <w:pPr>
        <w:pStyle w:val="BodyText"/>
        <w:ind w:left="540"/>
        <w:rPr>
          <w:rFonts w:ascii="Arial" w:hAnsi="Arial" w:cs="Arial"/>
          <w:b w:val="0"/>
        </w:rPr>
      </w:pPr>
    </w:p>
    <w:p w:rsidR="000078BF" w:rsidRPr="00F006B5" w:rsidRDefault="000078BF" w:rsidP="00C43475">
      <w:pPr>
        <w:pStyle w:val="Heading2"/>
        <w:numPr>
          <w:ilvl w:val="0"/>
          <w:numId w:val="12"/>
        </w:numPr>
        <w:tabs>
          <w:tab w:val="clear" w:pos="1440"/>
        </w:tabs>
        <w:ind w:left="540" w:hanging="540"/>
        <w:rPr>
          <w:rFonts w:ascii="Arial" w:hAnsi="Arial" w:cs="Arial"/>
          <w:bCs w:val="0"/>
        </w:rPr>
      </w:pPr>
      <w:r w:rsidRPr="00F006B5">
        <w:rPr>
          <w:rFonts w:ascii="Arial" w:hAnsi="Arial" w:cs="Arial"/>
          <w:bCs w:val="0"/>
        </w:rPr>
        <w:t>Outcome</w:t>
      </w:r>
    </w:p>
    <w:p w:rsidR="000078BF" w:rsidRPr="00F006B5" w:rsidRDefault="000078BF" w:rsidP="00C43475">
      <w:pPr>
        <w:rPr>
          <w:rFonts w:ascii="Arial" w:hAnsi="Arial" w:cs="Arial"/>
        </w:rPr>
      </w:pPr>
    </w:p>
    <w:p w:rsidR="000078BF" w:rsidRDefault="000078BF" w:rsidP="00C43475">
      <w:pPr>
        <w:pStyle w:val="BodyText"/>
        <w:ind w:left="540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The phase two valuation for the Board was undertaken by </w:t>
      </w:r>
      <w:r w:rsidR="0061492F">
        <w:rPr>
          <w:rFonts w:ascii="Arial" w:hAnsi="Arial" w:cs="Arial"/>
          <w:b w:val="0"/>
          <w:bCs w:val="0"/>
        </w:rPr>
        <w:t>the Assistant Director of Finance</w:t>
      </w:r>
      <w:r w:rsidR="003A3FF5">
        <w:rPr>
          <w:rFonts w:ascii="Arial" w:hAnsi="Arial" w:cs="Arial"/>
          <w:b w:val="0"/>
          <w:bCs w:val="0"/>
        </w:rPr>
        <w:t xml:space="preserve"> (Governance and Financial </w:t>
      </w:r>
      <w:r w:rsidR="008B086F">
        <w:rPr>
          <w:rFonts w:ascii="Arial" w:hAnsi="Arial" w:cs="Arial"/>
          <w:b w:val="0"/>
          <w:bCs w:val="0"/>
        </w:rPr>
        <w:t>Accounting</w:t>
      </w:r>
      <w:r w:rsidR="003A3FF5">
        <w:rPr>
          <w:rFonts w:ascii="Arial" w:hAnsi="Arial" w:cs="Arial"/>
          <w:b w:val="0"/>
          <w:bCs w:val="0"/>
        </w:rPr>
        <w:t>)</w:t>
      </w:r>
      <w:r w:rsidR="0061492F">
        <w:rPr>
          <w:rFonts w:ascii="Arial" w:hAnsi="Arial" w:cs="Arial"/>
          <w:b w:val="0"/>
          <w:bCs w:val="0"/>
        </w:rPr>
        <w:t xml:space="preserve"> </w:t>
      </w:r>
      <w:r>
        <w:rPr>
          <w:rFonts w:ascii="Arial" w:hAnsi="Arial" w:cs="Arial"/>
          <w:b w:val="0"/>
          <w:bCs w:val="0"/>
        </w:rPr>
        <w:t xml:space="preserve">to ensure consistency with stage one and </w:t>
      </w:r>
      <w:r w:rsidR="0061492F">
        <w:rPr>
          <w:rFonts w:ascii="Arial" w:hAnsi="Arial" w:cs="Arial"/>
          <w:b w:val="0"/>
          <w:bCs w:val="0"/>
        </w:rPr>
        <w:t>the Director of Finance</w:t>
      </w:r>
      <w:r>
        <w:rPr>
          <w:rFonts w:ascii="Arial" w:hAnsi="Arial" w:cs="Arial"/>
          <w:b w:val="0"/>
          <w:bCs w:val="0"/>
        </w:rPr>
        <w:t xml:space="preserve"> to represent the Audit and Risk Committee.</w:t>
      </w:r>
    </w:p>
    <w:p w:rsidR="000078BF" w:rsidRDefault="000078BF" w:rsidP="00C43475">
      <w:pPr>
        <w:pStyle w:val="BodyText"/>
        <w:ind w:left="540"/>
        <w:rPr>
          <w:rFonts w:ascii="Arial" w:hAnsi="Arial" w:cs="Arial"/>
          <w:b w:val="0"/>
          <w:bCs w:val="0"/>
        </w:rPr>
      </w:pPr>
    </w:p>
    <w:p w:rsidR="000078BF" w:rsidRDefault="000078BF" w:rsidP="00C43475">
      <w:pPr>
        <w:pStyle w:val="BodyText"/>
        <w:ind w:left="540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Following the two stages of the evaluation, as noted in the attached tender report the successful bidders were:</w:t>
      </w:r>
    </w:p>
    <w:p w:rsidR="000078BF" w:rsidRDefault="000078BF" w:rsidP="00C43475">
      <w:pPr>
        <w:pStyle w:val="BodyText"/>
        <w:ind w:left="540"/>
        <w:rPr>
          <w:rFonts w:ascii="Arial" w:hAnsi="Arial" w:cs="Arial"/>
          <w:b w:val="0"/>
          <w:bCs w:val="0"/>
        </w:rPr>
      </w:pPr>
    </w:p>
    <w:p w:rsidR="000078BF" w:rsidRDefault="000078BF" w:rsidP="00C43475">
      <w:pPr>
        <w:pStyle w:val="BodyText"/>
        <w:ind w:left="540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Lot one – Scott-Moncrieff</w:t>
      </w:r>
    </w:p>
    <w:p w:rsidR="000078BF" w:rsidRDefault="000078BF" w:rsidP="00C43475">
      <w:pPr>
        <w:pStyle w:val="BodyText"/>
        <w:ind w:left="540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Lot two – Grant Thornton</w:t>
      </w:r>
    </w:p>
    <w:p w:rsidR="000078BF" w:rsidRDefault="000078BF" w:rsidP="00C43475">
      <w:pPr>
        <w:pStyle w:val="BodyText"/>
        <w:ind w:left="540"/>
        <w:rPr>
          <w:rFonts w:ascii="Arial" w:hAnsi="Arial" w:cs="Arial"/>
          <w:b w:val="0"/>
          <w:bCs w:val="0"/>
        </w:rPr>
      </w:pPr>
    </w:p>
    <w:p w:rsidR="000078BF" w:rsidRPr="00C51A78" w:rsidRDefault="000078BF" w:rsidP="00C43475">
      <w:pPr>
        <w:pStyle w:val="BodyText"/>
        <w:ind w:left="540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Following the ten day standstill period the internal audit contract was awarded to the above companies effective from 5 May 2018.  The contract period will be for three years with the option to extend by one year</w:t>
      </w:r>
      <w:r w:rsidR="001553E9">
        <w:rPr>
          <w:rFonts w:ascii="Arial" w:hAnsi="Arial" w:cs="Arial"/>
          <w:b w:val="0"/>
          <w:bCs w:val="0"/>
        </w:rPr>
        <w:t>.</w:t>
      </w:r>
      <w:r w:rsidR="001553E9">
        <w:rPr>
          <w:rFonts w:ascii="Arial" w:hAnsi="Arial" w:cs="Arial"/>
          <w:b w:val="0"/>
          <w:bCs w:val="0"/>
        </w:rPr>
        <w:br/>
      </w:r>
    </w:p>
    <w:p w:rsidR="000078BF" w:rsidRPr="00F006B5" w:rsidRDefault="000078BF" w:rsidP="00C43475">
      <w:pPr>
        <w:pStyle w:val="Heading2"/>
        <w:numPr>
          <w:ilvl w:val="0"/>
          <w:numId w:val="12"/>
        </w:numPr>
        <w:tabs>
          <w:tab w:val="clear" w:pos="1440"/>
        </w:tabs>
        <w:ind w:left="540" w:hanging="540"/>
        <w:rPr>
          <w:rFonts w:ascii="Arial" w:hAnsi="Arial" w:cs="Arial"/>
        </w:rPr>
      </w:pPr>
      <w:r w:rsidRPr="00F006B5">
        <w:rPr>
          <w:rFonts w:ascii="Arial" w:hAnsi="Arial" w:cs="Arial"/>
        </w:rPr>
        <w:t>Conclusion</w:t>
      </w:r>
    </w:p>
    <w:p w:rsidR="000078BF" w:rsidRPr="00F006B5" w:rsidRDefault="000078BF" w:rsidP="00C43475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78BF" w:rsidRPr="00F006B5" w:rsidRDefault="000078BF" w:rsidP="00C43475">
      <w:pPr>
        <w:pStyle w:val="BodyText"/>
        <w:ind w:left="540"/>
        <w:rPr>
          <w:rFonts w:ascii="Arial" w:hAnsi="Arial" w:cs="Arial"/>
          <w:b w:val="0"/>
          <w:bCs w:val="0"/>
        </w:rPr>
      </w:pPr>
      <w:r w:rsidRPr="00F006B5">
        <w:rPr>
          <w:rFonts w:ascii="Arial" w:hAnsi="Arial" w:cs="Arial"/>
          <w:b w:val="0"/>
          <w:bCs w:val="0"/>
        </w:rPr>
        <w:t xml:space="preserve">The Audit </w:t>
      </w:r>
      <w:r>
        <w:rPr>
          <w:rFonts w:ascii="Arial" w:hAnsi="Arial" w:cs="Arial"/>
          <w:b w:val="0"/>
          <w:bCs w:val="0"/>
        </w:rPr>
        <w:t xml:space="preserve">and Risk </w:t>
      </w:r>
      <w:r w:rsidRPr="00F006B5">
        <w:rPr>
          <w:rFonts w:ascii="Arial" w:hAnsi="Arial" w:cs="Arial"/>
          <w:b w:val="0"/>
          <w:bCs w:val="0"/>
        </w:rPr>
        <w:t xml:space="preserve">Committee </w:t>
      </w:r>
      <w:r w:rsidR="001553E9">
        <w:rPr>
          <w:rFonts w:ascii="Arial" w:hAnsi="Arial" w:cs="Arial"/>
          <w:b w:val="0"/>
          <w:bCs w:val="0"/>
        </w:rPr>
        <w:t>approved the appointment of Grant Thornton as the internal auditor at the meeting on 12 June 2018 and recommend to the Board their appointment.</w:t>
      </w:r>
      <w:r w:rsidR="001553E9">
        <w:rPr>
          <w:rFonts w:ascii="Arial" w:hAnsi="Arial" w:cs="Arial"/>
          <w:b w:val="0"/>
          <w:bCs w:val="0"/>
        </w:rPr>
        <w:br/>
      </w:r>
    </w:p>
    <w:p w:rsidR="000078BF" w:rsidRPr="00C43475" w:rsidRDefault="000078BF" w:rsidP="00C43475">
      <w:pPr>
        <w:pStyle w:val="Heading2"/>
        <w:ind w:left="540"/>
        <w:rPr>
          <w:rFonts w:ascii="Arial" w:hAnsi="Arial" w:cs="Arial"/>
          <w:bCs w:val="0"/>
        </w:rPr>
      </w:pPr>
      <w:r w:rsidRPr="00C43475">
        <w:rPr>
          <w:rFonts w:ascii="Arial" w:hAnsi="Arial" w:cs="Arial"/>
          <w:bCs w:val="0"/>
        </w:rPr>
        <w:t>Julie Carter</w:t>
      </w:r>
    </w:p>
    <w:p w:rsidR="000078BF" w:rsidRPr="00C43475" w:rsidRDefault="000078BF" w:rsidP="00C43475">
      <w:pPr>
        <w:ind w:left="540"/>
        <w:rPr>
          <w:rFonts w:ascii="Arial" w:hAnsi="Arial" w:cs="Arial"/>
          <w:b/>
        </w:rPr>
      </w:pPr>
      <w:r w:rsidRPr="00C43475">
        <w:rPr>
          <w:rFonts w:ascii="Arial" w:hAnsi="Arial" w:cs="Arial"/>
          <w:b/>
        </w:rPr>
        <w:t>Director of Finance</w:t>
      </w:r>
    </w:p>
    <w:p w:rsidR="000078BF" w:rsidRPr="00C43475" w:rsidRDefault="001553E9" w:rsidP="00C43475">
      <w:pPr>
        <w:ind w:left="540"/>
        <w:rPr>
          <w:rFonts w:ascii="Arial" w:hAnsi="Arial" w:cs="Arial"/>
          <w:b/>
        </w:rPr>
      </w:pPr>
      <w:r w:rsidRPr="00C43475">
        <w:rPr>
          <w:rFonts w:ascii="Arial" w:hAnsi="Arial" w:cs="Arial"/>
          <w:b/>
        </w:rPr>
        <w:t xml:space="preserve">12 </w:t>
      </w:r>
      <w:r w:rsidR="000078BF" w:rsidRPr="00C43475">
        <w:rPr>
          <w:rFonts w:ascii="Arial" w:hAnsi="Arial" w:cs="Arial"/>
          <w:b/>
        </w:rPr>
        <w:t xml:space="preserve">June 2018 </w:t>
      </w:r>
    </w:p>
    <w:p w:rsidR="000078BF" w:rsidRPr="00C43475" w:rsidRDefault="000078BF" w:rsidP="00C43475">
      <w:pPr>
        <w:rPr>
          <w:rFonts w:ascii="Arial" w:hAnsi="Arial" w:cs="Arial"/>
          <w:b/>
          <w:bCs/>
          <w:i/>
          <w:iCs/>
        </w:rPr>
      </w:pPr>
    </w:p>
    <w:p w:rsidR="000078BF" w:rsidRPr="00C43475" w:rsidRDefault="0007089F" w:rsidP="00C43475">
      <w:pPr>
        <w:ind w:left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="000078BF" w:rsidRPr="00C43475">
        <w:rPr>
          <w:rFonts w:ascii="Arial" w:hAnsi="Arial" w:cs="Arial"/>
          <w:b/>
        </w:rPr>
        <w:t>Lily Bryson</w:t>
      </w:r>
      <w:r>
        <w:rPr>
          <w:rFonts w:ascii="Arial" w:hAnsi="Arial" w:cs="Arial"/>
          <w:b/>
        </w:rPr>
        <w:t xml:space="preserve">, </w:t>
      </w:r>
      <w:r w:rsidR="000078BF" w:rsidRPr="00C43475">
        <w:rPr>
          <w:rFonts w:ascii="Arial" w:hAnsi="Arial" w:cs="Arial"/>
          <w:b/>
        </w:rPr>
        <w:t>Assistant Director of Finance – Governance and Financial Accountin</w:t>
      </w:r>
      <w:r w:rsidR="00CA5904" w:rsidRPr="00C43475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)</w:t>
      </w:r>
    </w:p>
    <w:sectPr w:rsidR="000078BF" w:rsidRPr="00C43475" w:rsidSect="0007089F">
      <w:footerReference w:type="even" r:id="rId9"/>
      <w:footerReference w:type="default" r:id="rId10"/>
      <w:footerReference w:type="first" r:id="rId11"/>
      <w:pgSz w:w="11906" w:h="16838"/>
      <w:pgMar w:top="1135" w:right="991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475" w:rsidRDefault="00C43475">
      <w:r>
        <w:separator/>
      </w:r>
    </w:p>
  </w:endnote>
  <w:endnote w:type="continuationSeparator" w:id="0">
    <w:p w:rsidR="00C43475" w:rsidRDefault="00C434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475" w:rsidRDefault="00C4347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3475" w:rsidRDefault="00C4347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475" w:rsidRDefault="00C43475" w:rsidP="00C43475">
    <w:pPr>
      <w:ind w:left="-284" w:firstLine="142"/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</w:t>
    </w:r>
    <w:r w:rsidR="0007089F">
      <w:rPr>
        <w:rStyle w:val="PageNumber"/>
        <w:rFonts w:ascii="Arial" w:hAnsi="Arial" w:cs="Arial"/>
      </w:rPr>
      <w:t>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07089F">
      <w:rPr>
        <w:rStyle w:val="PageNumber"/>
        <w:rFonts w:ascii="Arial" w:hAnsi="Arial" w:cs="Arial"/>
        <w:noProof/>
      </w:rPr>
      <w:t>2</w:t>
    </w:r>
    <w:r w:rsidRPr="00513DB0">
      <w:rPr>
        <w:rStyle w:val="PageNumber"/>
        <w:rFonts w:ascii="Arial" w:hAnsi="Arial" w:cs="Arial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475" w:rsidRPr="00513DB0" w:rsidRDefault="00C43475" w:rsidP="00C43475">
    <w:pPr>
      <w:ind w:left="-284" w:firstLine="142"/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</w:t>
    </w:r>
    <w:r w:rsidR="0007089F">
      <w:rPr>
        <w:rStyle w:val="PageNumber"/>
        <w:rFonts w:ascii="Arial" w:hAnsi="Arial" w:cs="Arial"/>
      </w:rPr>
      <w:t>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07089F">
      <w:rPr>
        <w:rStyle w:val="PageNumber"/>
        <w:rFonts w:ascii="Arial" w:hAnsi="Arial" w:cs="Arial"/>
        <w:noProof/>
      </w:rPr>
      <w:t>1</w:t>
    </w:r>
    <w:r w:rsidRPr="00513DB0">
      <w:rPr>
        <w:rStyle w:val="PageNumber"/>
        <w:rFonts w:ascii="Arial" w:hAnsi="Arial" w:cs="Arial"/>
      </w:rPr>
      <w:fldChar w:fldCharType="end"/>
    </w:r>
  </w:p>
  <w:p w:rsidR="00C43475" w:rsidRDefault="00C43475" w:rsidP="00C43475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5381625</wp:posOffset>
          </wp:positionH>
          <wp:positionV relativeFrom="paragraph">
            <wp:posOffset>72390</wp:posOffset>
          </wp:positionV>
          <wp:extent cx="514350" cy="342900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43475" w:rsidRPr="008F5DB5" w:rsidRDefault="00C43475" w:rsidP="00C43475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C43475" w:rsidRPr="00345B4F" w:rsidRDefault="00C43475" w:rsidP="00C43475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  <w:p w:rsidR="00C43475" w:rsidRDefault="00C43475" w:rsidP="00C43475">
    <w:pPr>
      <w:pStyle w:val="Footer"/>
    </w:pPr>
  </w:p>
  <w:p w:rsidR="00C43475" w:rsidRDefault="00C4347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475" w:rsidRDefault="00C43475">
      <w:r>
        <w:separator/>
      </w:r>
    </w:p>
  </w:footnote>
  <w:footnote w:type="continuationSeparator" w:id="0">
    <w:p w:rsidR="00C43475" w:rsidRDefault="00C434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F6D4F"/>
    <w:multiLevelType w:val="hybridMultilevel"/>
    <w:tmpl w:val="6E9E0016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CA464A5"/>
    <w:multiLevelType w:val="hybridMultilevel"/>
    <w:tmpl w:val="1DD266EC"/>
    <w:lvl w:ilvl="0" w:tplc="B3CE5F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698E082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D364AF1"/>
    <w:multiLevelType w:val="hybridMultilevel"/>
    <w:tmpl w:val="9B442322"/>
    <w:lvl w:ilvl="0" w:tplc="B200465C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CF63CD"/>
    <w:multiLevelType w:val="hybridMultilevel"/>
    <w:tmpl w:val="F5D237C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0E53453"/>
    <w:multiLevelType w:val="hybridMultilevel"/>
    <w:tmpl w:val="FDF65016"/>
    <w:lvl w:ilvl="0" w:tplc="08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ECC113E"/>
    <w:multiLevelType w:val="hybridMultilevel"/>
    <w:tmpl w:val="4C12AE7C"/>
    <w:lvl w:ilvl="0" w:tplc="B200465C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030665"/>
    <w:multiLevelType w:val="hybridMultilevel"/>
    <w:tmpl w:val="0396F1C0"/>
    <w:lvl w:ilvl="0" w:tplc="B200465C">
      <w:start w:val="1"/>
      <w:numFmt w:val="bullet"/>
      <w:lvlText w:val="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29864D3"/>
    <w:multiLevelType w:val="hybridMultilevel"/>
    <w:tmpl w:val="C2640616"/>
    <w:lvl w:ilvl="0" w:tplc="F52632B6">
      <w:start w:val="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5C480B8B"/>
    <w:multiLevelType w:val="hybridMultilevel"/>
    <w:tmpl w:val="234A56DE"/>
    <w:lvl w:ilvl="0" w:tplc="CAA4A8B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5EB45A30"/>
    <w:multiLevelType w:val="hybridMultilevel"/>
    <w:tmpl w:val="74E84E68"/>
    <w:lvl w:ilvl="0" w:tplc="B200465C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920C35"/>
    <w:multiLevelType w:val="hybridMultilevel"/>
    <w:tmpl w:val="23A246F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4513A50"/>
    <w:multiLevelType w:val="hybridMultilevel"/>
    <w:tmpl w:val="81D09CCA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72127667"/>
    <w:multiLevelType w:val="hybridMultilevel"/>
    <w:tmpl w:val="BF186B94"/>
    <w:lvl w:ilvl="0" w:tplc="76064186">
      <w:start w:val="5"/>
      <w:numFmt w:val="decimal"/>
      <w:pStyle w:val="Heading3"/>
      <w:lvlText w:val="%1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689414F"/>
    <w:multiLevelType w:val="hybridMultilevel"/>
    <w:tmpl w:val="DAF0D04A"/>
    <w:lvl w:ilvl="0" w:tplc="C8D87CA8">
      <w:start w:val="2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A142D56"/>
    <w:multiLevelType w:val="hybridMultilevel"/>
    <w:tmpl w:val="DC0445A2"/>
    <w:lvl w:ilvl="0" w:tplc="F52632B6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</w:num>
  <w:num w:numId="3">
    <w:abstractNumId w:val="13"/>
  </w:num>
  <w:num w:numId="4">
    <w:abstractNumId w:val="8"/>
  </w:num>
  <w:num w:numId="5">
    <w:abstractNumId w:val="2"/>
  </w:num>
  <w:num w:numId="6">
    <w:abstractNumId w:val="9"/>
  </w:num>
  <w:num w:numId="7">
    <w:abstractNumId w:val="5"/>
  </w:num>
  <w:num w:numId="8">
    <w:abstractNumId w:val="6"/>
  </w:num>
  <w:num w:numId="9">
    <w:abstractNumId w:val="0"/>
  </w:num>
  <w:num w:numId="10">
    <w:abstractNumId w:val="10"/>
  </w:num>
  <w:num w:numId="11">
    <w:abstractNumId w:val="14"/>
  </w:num>
  <w:num w:numId="12">
    <w:abstractNumId w:val="7"/>
  </w:num>
  <w:num w:numId="13">
    <w:abstractNumId w:val="11"/>
  </w:num>
  <w:num w:numId="14">
    <w:abstractNumId w:val="4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5341"/>
    <w:rsid w:val="000078BF"/>
    <w:rsid w:val="00016886"/>
    <w:rsid w:val="00026F02"/>
    <w:rsid w:val="0005006F"/>
    <w:rsid w:val="00060E41"/>
    <w:rsid w:val="0007089F"/>
    <w:rsid w:val="000757BD"/>
    <w:rsid w:val="000A57E1"/>
    <w:rsid w:val="000A5DA2"/>
    <w:rsid w:val="000A6D60"/>
    <w:rsid w:val="00111F79"/>
    <w:rsid w:val="001201B1"/>
    <w:rsid w:val="001553E9"/>
    <w:rsid w:val="00175B9C"/>
    <w:rsid w:val="001D0DC2"/>
    <w:rsid w:val="001D13AA"/>
    <w:rsid w:val="002410B0"/>
    <w:rsid w:val="002E3290"/>
    <w:rsid w:val="003663AA"/>
    <w:rsid w:val="003A3FF5"/>
    <w:rsid w:val="003B5980"/>
    <w:rsid w:val="003E03BC"/>
    <w:rsid w:val="00476003"/>
    <w:rsid w:val="00527269"/>
    <w:rsid w:val="00564A02"/>
    <w:rsid w:val="006136A8"/>
    <w:rsid w:val="0061492F"/>
    <w:rsid w:val="00616763"/>
    <w:rsid w:val="0063756C"/>
    <w:rsid w:val="00640D7D"/>
    <w:rsid w:val="006A3FF0"/>
    <w:rsid w:val="006D2CDA"/>
    <w:rsid w:val="006D5B51"/>
    <w:rsid w:val="006F4EC7"/>
    <w:rsid w:val="00721ED5"/>
    <w:rsid w:val="007318CB"/>
    <w:rsid w:val="00761A32"/>
    <w:rsid w:val="00764C38"/>
    <w:rsid w:val="00795341"/>
    <w:rsid w:val="007D51DD"/>
    <w:rsid w:val="00833B90"/>
    <w:rsid w:val="008810A4"/>
    <w:rsid w:val="008B086F"/>
    <w:rsid w:val="00940079"/>
    <w:rsid w:val="00986340"/>
    <w:rsid w:val="00994E52"/>
    <w:rsid w:val="009B0320"/>
    <w:rsid w:val="009B1493"/>
    <w:rsid w:val="009D79CB"/>
    <w:rsid w:val="009F26BC"/>
    <w:rsid w:val="009F762C"/>
    <w:rsid w:val="00A27B84"/>
    <w:rsid w:val="00A5254F"/>
    <w:rsid w:val="00AA1D47"/>
    <w:rsid w:val="00B10301"/>
    <w:rsid w:val="00B132BD"/>
    <w:rsid w:val="00B21C1B"/>
    <w:rsid w:val="00B325A6"/>
    <w:rsid w:val="00B6539E"/>
    <w:rsid w:val="00B77FFC"/>
    <w:rsid w:val="00B950B2"/>
    <w:rsid w:val="00BB239F"/>
    <w:rsid w:val="00C36A11"/>
    <w:rsid w:val="00C43475"/>
    <w:rsid w:val="00C44D2E"/>
    <w:rsid w:val="00C51A78"/>
    <w:rsid w:val="00C73280"/>
    <w:rsid w:val="00C873D4"/>
    <w:rsid w:val="00CA5904"/>
    <w:rsid w:val="00CB531F"/>
    <w:rsid w:val="00D07687"/>
    <w:rsid w:val="00D45CEF"/>
    <w:rsid w:val="00D5523A"/>
    <w:rsid w:val="00D71D2B"/>
    <w:rsid w:val="00D73512"/>
    <w:rsid w:val="00DF380D"/>
    <w:rsid w:val="00E23CDE"/>
    <w:rsid w:val="00E356ED"/>
    <w:rsid w:val="00E728AB"/>
    <w:rsid w:val="00EA1269"/>
    <w:rsid w:val="00EB7A67"/>
    <w:rsid w:val="00EE7860"/>
    <w:rsid w:val="00EF294A"/>
    <w:rsid w:val="00F00054"/>
    <w:rsid w:val="00F006B5"/>
    <w:rsid w:val="00F81552"/>
    <w:rsid w:val="00F87EE3"/>
    <w:rsid w:val="00FD0C14"/>
    <w:rsid w:val="00FF4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DC2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D0DC2"/>
    <w:pPr>
      <w:keepNext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D0DC2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1D0DC2"/>
    <w:pPr>
      <w:keepNext/>
      <w:numPr>
        <w:numId w:val="1"/>
      </w:numPr>
      <w:tabs>
        <w:tab w:val="num" w:pos="720"/>
      </w:tabs>
      <w:ind w:hanging="108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1D0DC2"/>
    <w:pPr>
      <w:keepNext/>
      <w:outlineLvl w:val="3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410B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410B0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410B0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410B0"/>
    <w:rPr>
      <w:rFonts w:ascii="Calibri" w:hAnsi="Calibri" w:cs="Times New Roman"/>
      <w:b/>
      <w:b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1D0D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410B0"/>
    <w:rPr>
      <w:rFonts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rsid w:val="001D0DC2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1D0DC2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410B0"/>
    <w:rPr>
      <w:rFonts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EA12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F006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006B5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149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49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492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49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492F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4347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3475"/>
    <w:rPr>
      <w:sz w:val="24"/>
      <w:szCs w:val="24"/>
      <w:lang w:val="en-GB"/>
    </w:rPr>
  </w:style>
  <w:style w:type="paragraph" w:styleId="Title">
    <w:name w:val="Title"/>
    <w:basedOn w:val="Normal"/>
    <w:link w:val="TitleChar"/>
    <w:qFormat/>
    <w:locked/>
    <w:rsid w:val="00C43475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character" w:customStyle="1" w:styleId="TitleChar">
    <w:name w:val="Title Char"/>
    <w:basedOn w:val="DefaultParagraphFont"/>
    <w:link w:val="Title"/>
    <w:rsid w:val="00C43475"/>
    <w:rPr>
      <w:b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8694DD-3186-4E74-9FD3-D82B6C98E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531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Waiting Times Centre Board</vt:lpstr>
    </vt:vector>
  </TitlesOfParts>
  <Company>Microsoft</Company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Waiting Times Centre Board</dc:title>
  <dc:creator>National Waiting Times Centre</dc:creator>
  <cp:lastModifiedBy>McGuinnessC1</cp:lastModifiedBy>
  <cp:revision>3</cp:revision>
  <cp:lastPrinted>2018-06-04T10:49:00Z</cp:lastPrinted>
  <dcterms:created xsi:type="dcterms:W3CDTF">2018-06-12T15:47:00Z</dcterms:created>
  <dcterms:modified xsi:type="dcterms:W3CDTF">2018-06-14T17:22:00Z</dcterms:modified>
</cp:coreProperties>
</file>